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2D" w:rsidRPr="002F39E9" w:rsidRDefault="00FB0F2D" w:rsidP="002F39E9">
      <w:pPr>
        <w:suppressAutoHyphens/>
        <w:autoSpaceDN w:val="0"/>
        <w:spacing w:after="0" w:line="240" w:lineRule="auto"/>
        <w:rPr>
          <w:rFonts w:ascii="Times New Roman" w:eastAsia="Times New Roman" w:hAnsi="Times New Roman" w:cs="Times New Roman"/>
          <w:color w:val="000000"/>
          <w:sz w:val="28"/>
          <w:szCs w:val="28"/>
          <w:lang w:val="en-GB" w:eastAsia="en-GB"/>
        </w:rPr>
      </w:pPr>
      <w:r w:rsidRPr="002F39E9">
        <w:rPr>
          <w:rFonts w:ascii="Times New Roman" w:eastAsia="Times New Roman" w:hAnsi="Times New Roman" w:cs="Times New Roman"/>
          <w:color w:val="000000"/>
          <w:sz w:val="28"/>
          <w:szCs w:val="28"/>
          <w:lang w:val="en-GB" w:eastAsia="en-GB"/>
        </w:rPr>
        <w:t>One potential tenderer requested following information:</w:t>
      </w:r>
    </w:p>
    <w:p w:rsidR="00B6744B" w:rsidRPr="002F39E9" w:rsidRDefault="00B6744B" w:rsidP="002F39E9">
      <w:pPr>
        <w:spacing w:after="0" w:line="240" w:lineRule="auto"/>
        <w:rPr>
          <w:rFonts w:ascii="Times New Roman" w:hAnsi="Times New Roman" w:cs="Times New Roman"/>
          <w:sz w:val="28"/>
          <w:szCs w:val="28"/>
        </w:rPr>
      </w:pPr>
    </w:p>
    <w:p w:rsidR="00FB0F2D" w:rsidRPr="002F39E9" w:rsidRDefault="00FB0F2D" w:rsidP="002F39E9">
      <w:pPr>
        <w:pStyle w:val="yiv2987235342msonormal"/>
        <w:shd w:val="clear" w:color="auto" w:fill="FFFFFF"/>
        <w:spacing w:before="0" w:beforeAutospacing="0" w:after="0" w:afterAutospacing="0"/>
        <w:jc w:val="both"/>
        <w:rPr>
          <w:b/>
          <w:bCs/>
          <w:color w:val="000000" w:themeColor="text1"/>
          <w:sz w:val="28"/>
          <w:szCs w:val="28"/>
        </w:rPr>
      </w:pPr>
      <w:r w:rsidRPr="002F39E9">
        <w:rPr>
          <w:b/>
          <w:bCs/>
          <w:color w:val="000000" w:themeColor="text1"/>
          <w:sz w:val="28"/>
          <w:szCs w:val="28"/>
        </w:rPr>
        <w:t>Clarification question:</w:t>
      </w:r>
    </w:p>
    <w:p w:rsidR="00FB0F2D" w:rsidRPr="002F39E9" w:rsidRDefault="00FB0F2D" w:rsidP="002F39E9">
      <w:pPr>
        <w:pStyle w:val="yiv2987235342msonormal"/>
        <w:shd w:val="clear" w:color="auto" w:fill="FFFFFF"/>
        <w:spacing w:before="0" w:beforeAutospacing="0" w:after="0" w:afterAutospacing="0"/>
        <w:jc w:val="both"/>
        <w:rPr>
          <w:b/>
          <w:color w:val="000000" w:themeColor="text1"/>
          <w:sz w:val="28"/>
          <w:szCs w:val="28"/>
        </w:rPr>
      </w:pPr>
    </w:p>
    <w:p w:rsidR="00FB0F2D" w:rsidRPr="002F39E9" w:rsidRDefault="005820F9" w:rsidP="002F39E9">
      <w:pPr>
        <w:pStyle w:val="yiv2987235342msonormal"/>
        <w:shd w:val="clear" w:color="auto" w:fill="FFFFFF"/>
        <w:spacing w:before="0" w:beforeAutospacing="0" w:after="0" w:afterAutospacing="0"/>
        <w:jc w:val="both"/>
        <w:rPr>
          <w:i/>
          <w:color w:val="000000" w:themeColor="text1"/>
          <w:sz w:val="28"/>
          <w:szCs w:val="28"/>
        </w:rPr>
      </w:pPr>
      <w:r w:rsidRPr="002F39E9">
        <w:rPr>
          <w:i/>
          <w:color w:val="000000" w:themeColor="text1"/>
          <w:sz w:val="28"/>
          <w:szCs w:val="28"/>
        </w:rPr>
        <w:t>We can participate to the auction if our tractor (</w:t>
      </w:r>
      <w:proofErr w:type="spellStart"/>
      <w:r w:rsidRPr="002F39E9">
        <w:rPr>
          <w:i/>
          <w:color w:val="000000" w:themeColor="text1"/>
          <w:sz w:val="28"/>
          <w:szCs w:val="28"/>
        </w:rPr>
        <w:t>Hattat</w:t>
      </w:r>
      <w:proofErr w:type="spellEnd"/>
      <w:r w:rsidRPr="002F39E9">
        <w:rPr>
          <w:i/>
          <w:color w:val="000000" w:themeColor="text1"/>
          <w:sz w:val="28"/>
          <w:szCs w:val="28"/>
        </w:rPr>
        <w:t xml:space="preserve"> A110 with Perkins engine) is manufactured in Europe, not in European Union?</w:t>
      </w:r>
    </w:p>
    <w:p w:rsidR="005820F9" w:rsidRPr="002F39E9" w:rsidRDefault="005820F9" w:rsidP="002F39E9">
      <w:pPr>
        <w:pStyle w:val="yiv2987235342msonormal"/>
        <w:shd w:val="clear" w:color="auto" w:fill="FFFFFF"/>
        <w:spacing w:before="0" w:beforeAutospacing="0" w:after="0" w:afterAutospacing="0"/>
        <w:jc w:val="both"/>
        <w:rPr>
          <w:i/>
          <w:color w:val="000000" w:themeColor="text1"/>
          <w:sz w:val="28"/>
          <w:szCs w:val="28"/>
        </w:rPr>
      </w:pPr>
    </w:p>
    <w:p w:rsidR="005820F9" w:rsidRPr="002F39E9" w:rsidRDefault="005820F9" w:rsidP="002F39E9">
      <w:pPr>
        <w:pStyle w:val="yiv2987235342msonormal"/>
        <w:shd w:val="clear" w:color="auto" w:fill="FFFFFF"/>
        <w:spacing w:before="0" w:beforeAutospacing="0" w:after="0" w:afterAutospacing="0"/>
        <w:jc w:val="both"/>
        <w:rPr>
          <w:i/>
          <w:color w:val="000000" w:themeColor="text1"/>
          <w:sz w:val="28"/>
          <w:szCs w:val="28"/>
        </w:rPr>
      </w:pPr>
      <w:r w:rsidRPr="002F39E9">
        <w:rPr>
          <w:i/>
          <w:color w:val="000000" w:themeColor="text1"/>
          <w:sz w:val="28"/>
          <w:szCs w:val="28"/>
        </w:rPr>
        <w:t>DIRECTIVE 2003/EC ANNEX III</w:t>
      </w:r>
    </w:p>
    <w:p w:rsidR="005820F9" w:rsidRPr="002F39E9" w:rsidRDefault="005820F9" w:rsidP="002F39E9">
      <w:pPr>
        <w:pStyle w:val="yiv2987235342msonormal"/>
        <w:shd w:val="clear" w:color="auto" w:fill="FFFFFF"/>
        <w:spacing w:before="0" w:beforeAutospacing="0" w:after="0" w:afterAutospacing="0"/>
        <w:jc w:val="both"/>
        <w:rPr>
          <w:i/>
          <w:color w:val="000000" w:themeColor="text1"/>
          <w:sz w:val="28"/>
          <w:szCs w:val="28"/>
        </w:rPr>
      </w:pPr>
      <w:r w:rsidRPr="002F39E9">
        <w:rPr>
          <w:i/>
          <w:color w:val="000000" w:themeColor="text1"/>
          <w:sz w:val="28"/>
          <w:szCs w:val="28"/>
        </w:rPr>
        <w:t>EC CERTIFICATE OF CONFORMITY</w:t>
      </w:r>
    </w:p>
    <w:p w:rsidR="00FB0F2D" w:rsidRPr="002F39E9" w:rsidRDefault="00FB0F2D" w:rsidP="002F39E9">
      <w:pPr>
        <w:pStyle w:val="yiv2987235342msonormal"/>
        <w:shd w:val="clear" w:color="auto" w:fill="FFFFFF"/>
        <w:spacing w:before="0" w:beforeAutospacing="0" w:after="0" w:afterAutospacing="0"/>
        <w:jc w:val="both"/>
        <w:rPr>
          <w:color w:val="000000" w:themeColor="text1"/>
          <w:sz w:val="28"/>
          <w:szCs w:val="28"/>
        </w:rPr>
      </w:pPr>
      <w:r w:rsidRPr="002F39E9">
        <w:rPr>
          <w:color w:val="000000" w:themeColor="text1"/>
          <w:sz w:val="28"/>
          <w:szCs w:val="28"/>
        </w:rPr>
        <w:t> </w:t>
      </w:r>
    </w:p>
    <w:p w:rsidR="00FB0F2D" w:rsidRPr="002F39E9" w:rsidRDefault="00FB0F2D" w:rsidP="002F39E9">
      <w:pPr>
        <w:pStyle w:val="yiv2987235342msonormal"/>
        <w:shd w:val="clear" w:color="auto" w:fill="FFFFFF"/>
        <w:spacing w:before="0" w:beforeAutospacing="0" w:after="0" w:afterAutospacing="0"/>
        <w:jc w:val="both"/>
        <w:rPr>
          <w:color w:val="000000" w:themeColor="text1"/>
          <w:sz w:val="28"/>
          <w:szCs w:val="28"/>
        </w:rPr>
      </w:pPr>
    </w:p>
    <w:p w:rsidR="002F39E9" w:rsidRDefault="00FB0F2D" w:rsidP="002F39E9">
      <w:pPr>
        <w:pStyle w:val="yiv2987235342msonormal"/>
        <w:shd w:val="clear" w:color="auto" w:fill="FFFFFF"/>
        <w:spacing w:before="0" w:beforeAutospacing="0" w:after="0" w:afterAutospacing="0"/>
        <w:jc w:val="both"/>
        <w:rPr>
          <w:b/>
          <w:bCs/>
          <w:color w:val="000000" w:themeColor="text1"/>
          <w:sz w:val="28"/>
          <w:szCs w:val="28"/>
        </w:rPr>
      </w:pPr>
      <w:r w:rsidRPr="002F39E9">
        <w:rPr>
          <w:b/>
          <w:bCs/>
          <w:color w:val="000000" w:themeColor="text1"/>
          <w:sz w:val="28"/>
          <w:szCs w:val="28"/>
        </w:rPr>
        <w:t>Answer:</w:t>
      </w:r>
    </w:p>
    <w:p w:rsidR="002F39E9" w:rsidRDefault="002F39E9" w:rsidP="002F39E9">
      <w:pPr>
        <w:pStyle w:val="yiv2987235342msonormal"/>
        <w:shd w:val="clear" w:color="auto" w:fill="FFFFFF"/>
        <w:spacing w:before="0" w:beforeAutospacing="0" w:after="0" w:afterAutospacing="0"/>
        <w:jc w:val="both"/>
        <w:rPr>
          <w:b/>
          <w:bCs/>
          <w:color w:val="000000" w:themeColor="text1"/>
          <w:sz w:val="28"/>
          <w:szCs w:val="28"/>
        </w:rPr>
      </w:pPr>
    </w:p>
    <w:p w:rsidR="004D1660" w:rsidRPr="002F39E9" w:rsidRDefault="004D1660" w:rsidP="002F39E9">
      <w:pPr>
        <w:pStyle w:val="yiv2987235342msonormal"/>
        <w:shd w:val="clear" w:color="auto" w:fill="FFFFFF"/>
        <w:spacing w:before="0" w:beforeAutospacing="0" w:after="0" w:afterAutospacing="0"/>
        <w:jc w:val="both"/>
        <w:rPr>
          <w:i/>
          <w:color w:val="000000" w:themeColor="text1"/>
          <w:sz w:val="28"/>
          <w:szCs w:val="28"/>
          <w:lang w:val="en-GB"/>
        </w:rPr>
      </w:pPr>
      <w:r w:rsidRPr="002F39E9">
        <w:rPr>
          <w:color w:val="000000" w:themeColor="text1"/>
          <w:sz w:val="28"/>
          <w:szCs w:val="28"/>
        </w:rPr>
        <w:t>According to section 8</w:t>
      </w:r>
      <w:r w:rsidRPr="002F39E9">
        <w:rPr>
          <w:i/>
          <w:color w:val="000000" w:themeColor="text1"/>
          <w:sz w:val="28"/>
          <w:szCs w:val="28"/>
        </w:rPr>
        <w:t xml:space="preserve"> </w:t>
      </w:r>
      <w:r w:rsidRPr="002F39E9">
        <w:rPr>
          <w:b/>
          <w:i/>
          <w:color w:val="000000" w:themeColor="text1"/>
          <w:sz w:val="28"/>
          <w:szCs w:val="28"/>
          <w:lang w:val="en-GB"/>
        </w:rPr>
        <w:t xml:space="preserve">Eligibility and rules of origin </w:t>
      </w:r>
      <w:r w:rsidRPr="002F39E9">
        <w:rPr>
          <w:color w:val="000000" w:themeColor="text1"/>
          <w:sz w:val="28"/>
          <w:szCs w:val="28"/>
          <w:lang w:val="en-GB"/>
        </w:rPr>
        <w:t>of the Supply contract notice,</w:t>
      </w:r>
      <w:r w:rsidRPr="002F39E9">
        <w:rPr>
          <w:i/>
          <w:color w:val="000000" w:themeColor="text1"/>
          <w:sz w:val="28"/>
          <w:szCs w:val="28"/>
          <w:lang w:val="en-GB"/>
        </w:rPr>
        <w:t xml:space="preserve"> </w:t>
      </w:r>
      <w:r w:rsidRPr="002F39E9">
        <w:rPr>
          <w:i/>
          <w:color w:val="000000" w:themeColor="text1"/>
          <w:sz w:val="28"/>
          <w:szCs w:val="28"/>
          <w:lang w:val="ro-RO"/>
        </w:rPr>
        <w:t>”</w:t>
      </w:r>
      <w:r w:rsidRPr="002F39E9">
        <w:rPr>
          <w:i/>
          <w:color w:val="000000" w:themeColor="text1"/>
          <w:sz w:val="28"/>
          <w:szCs w:val="28"/>
          <w:lang w:val="en-GB"/>
        </w:rPr>
        <w:t>Participation is open to all natural persons who are nationals of and legal persons (participating either individually or in a grouping – consortium - of tenderers) which are effectively established in a  Member State of the European Union or in a eligible country or territory  as defined under the Regulation (EU) N°236/2014 establishing common rules and procedures for the implementation of the Union's instruments for external action (CIR) for the applicable Instrument under which the contract is financed (see also heading 22 below). Participation is also open to international organisations.</w:t>
      </w:r>
      <w:r w:rsidR="002F39E9">
        <w:rPr>
          <w:i/>
          <w:color w:val="000000" w:themeColor="text1"/>
          <w:sz w:val="28"/>
          <w:szCs w:val="28"/>
          <w:lang w:val="en-GB"/>
        </w:rPr>
        <w:t xml:space="preserve"> </w:t>
      </w:r>
      <w:r w:rsidRPr="002F39E9">
        <w:rPr>
          <w:i/>
          <w:color w:val="000000" w:themeColor="text1"/>
          <w:sz w:val="28"/>
          <w:szCs w:val="28"/>
          <w:lang w:val="en-GB"/>
        </w:rPr>
        <w:t>All supplies under this contract must originate in one or more of these countries.</w:t>
      </w:r>
      <w:r w:rsidRPr="002F39E9">
        <w:rPr>
          <w:i/>
          <w:color w:val="000000" w:themeColor="text1"/>
          <w:sz w:val="28"/>
          <w:szCs w:val="28"/>
          <w:lang w:val="en-GB"/>
        </w:rPr>
        <w:t>”</w:t>
      </w:r>
    </w:p>
    <w:p w:rsidR="002F39E9" w:rsidRPr="002F39E9" w:rsidRDefault="004D1660" w:rsidP="002F39E9">
      <w:pPr>
        <w:pStyle w:val="yiv2987235342msonormal"/>
        <w:shd w:val="clear" w:color="auto" w:fill="FFFFFF"/>
        <w:spacing w:before="0" w:beforeAutospacing="0" w:after="0" w:afterAutospacing="0"/>
        <w:jc w:val="both"/>
        <w:rPr>
          <w:i/>
          <w:color w:val="000000" w:themeColor="text1"/>
          <w:sz w:val="28"/>
          <w:szCs w:val="28"/>
        </w:rPr>
      </w:pPr>
      <w:r w:rsidRPr="002F39E9">
        <w:rPr>
          <w:color w:val="000000" w:themeColor="text1"/>
          <w:sz w:val="28"/>
          <w:szCs w:val="28"/>
          <w:lang w:val="en-GB"/>
        </w:rPr>
        <w:t>More than that, according to PRAG 2015</w:t>
      </w:r>
      <w:proofErr w:type="gramStart"/>
      <w:r w:rsidRPr="002F39E9">
        <w:rPr>
          <w:color w:val="000000" w:themeColor="text1"/>
          <w:sz w:val="28"/>
          <w:szCs w:val="28"/>
          <w:lang w:val="en-GB"/>
        </w:rPr>
        <w:t>,</w:t>
      </w:r>
      <w:r w:rsidRPr="002F39E9">
        <w:rPr>
          <w:i/>
          <w:color w:val="000000" w:themeColor="text1"/>
          <w:sz w:val="28"/>
          <w:szCs w:val="28"/>
          <w:lang w:val="en-GB"/>
        </w:rPr>
        <w:t xml:space="preserve"> </w:t>
      </w:r>
      <w:r w:rsidR="002F39E9" w:rsidRPr="002F39E9">
        <w:rPr>
          <w:i/>
          <w:color w:val="000000" w:themeColor="text1"/>
          <w:sz w:val="28"/>
          <w:szCs w:val="28"/>
          <w:lang w:val="en-GB"/>
        </w:rPr>
        <w:t>”</w:t>
      </w:r>
      <w:bookmarkStart w:id="0" w:name="_Toc423007693"/>
      <w:proofErr w:type="gramEnd"/>
      <w:r w:rsidR="002F39E9" w:rsidRPr="002F39E9">
        <w:rPr>
          <w:i/>
          <w:color w:val="000000" w:themeColor="text1"/>
          <w:sz w:val="28"/>
          <w:szCs w:val="28"/>
        </w:rPr>
        <w:t xml:space="preserve">Participation in the award of procurement contracts, grants and other award procedures for actions financed under the CIR </w:t>
      </w:r>
      <w:r w:rsidR="002F39E9" w:rsidRPr="002F39E9">
        <w:rPr>
          <w:b/>
          <w:bCs/>
          <w:i/>
          <w:color w:val="000000" w:themeColor="text1"/>
          <w:sz w:val="28"/>
          <w:szCs w:val="28"/>
          <w:u w:val="single"/>
        </w:rPr>
        <w:t>for IPA II</w:t>
      </w:r>
      <w:r w:rsidR="002F39E9" w:rsidRPr="002F39E9">
        <w:rPr>
          <w:i/>
          <w:color w:val="000000" w:themeColor="text1"/>
          <w:sz w:val="28"/>
          <w:szCs w:val="28"/>
        </w:rPr>
        <w:t xml:space="preserve"> for the benefit of third parties shall be open to all natural persons who are nationals of, and legal persons who are effectively established in, one of the following eligible countries/ territories/beneficiaries:</w:t>
      </w:r>
      <w:bookmarkEnd w:id="0"/>
    </w:p>
    <w:p w:rsidR="002F39E9" w:rsidRPr="002F39E9" w:rsidRDefault="002F39E9" w:rsidP="002F39E9">
      <w:pPr>
        <w:pStyle w:val="yiv2987235342msonormal"/>
        <w:shd w:val="clear" w:color="auto" w:fill="FFFFFF"/>
        <w:spacing w:before="0" w:beforeAutospacing="0" w:after="0" w:afterAutospacing="0"/>
        <w:ind w:firstLine="720"/>
        <w:rPr>
          <w:i/>
          <w:color w:val="000000" w:themeColor="text1"/>
          <w:sz w:val="28"/>
          <w:szCs w:val="28"/>
        </w:rPr>
      </w:pPr>
      <w:bookmarkStart w:id="1" w:name="_Toc423007694"/>
      <w:bookmarkStart w:id="2" w:name="_Toc423007512"/>
      <w:bookmarkStart w:id="3" w:name="_DV_M252"/>
      <w:bookmarkStart w:id="4" w:name="_DV_M253"/>
      <w:bookmarkEnd w:id="1"/>
      <w:bookmarkEnd w:id="2"/>
      <w:bookmarkEnd w:id="3"/>
      <w:bookmarkEnd w:id="4"/>
      <w:r w:rsidRPr="002F39E9">
        <w:rPr>
          <w:i/>
          <w:color w:val="000000" w:themeColor="text1"/>
          <w:sz w:val="28"/>
          <w:szCs w:val="28"/>
          <w:lang w:val="fr-BE"/>
        </w:rPr>
        <w:t xml:space="preserve">(a)   </w:t>
      </w:r>
      <w:r w:rsidRPr="002F39E9">
        <w:rPr>
          <w:i/>
          <w:iCs/>
          <w:color w:val="000000" w:themeColor="text1"/>
          <w:sz w:val="28"/>
          <w:szCs w:val="28"/>
          <w:lang w:val="fr-BE"/>
        </w:rPr>
        <w:t xml:space="preserve">EU </w:t>
      </w:r>
      <w:proofErr w:type="spellStart"/>
      <w:r w:rsidRPr="002F39E9">
        <w:rPr>
          <w:i/>
          <w:iCs/>
          <w:color w:val="000000" w:themeColor="text1"/>
          <w:sz w:val="28"/>
          <w:szCs w:val="28"/>
          <w:lang w:val="fr-BE"/>
        </w:rPr>
        <w:t>Member</w:t>
      </w:r>
      <w:proofErr w:type="spellEnd"/>
      <w:r w:rsidRPr="002F39E9">
        <w:rPr>
          <w:i/>
          <w:iCs/>
          <w:color w:val="000000" w:themeColor="text1"/>
          <w:sz w:val="28"/>
          <w:szCs w:val="28"/>
          <w:lang w:val="fr-BE"/>
        </w:rPr>
        <w:t xml:space="preserve"> States</w:t>
      </w:r>
      <w:r w:rsidRPr="002F39E9">
        <w:rPr>
          <w:i/>
          <w:color w:val="000000" w:themeColor="text1"/>
          <w:sz w:val="28"/>
          <w:szCs w:val="28"/>
          <w:lang w:val="fr-BE"/>
        </w:rPr>
        <w:t xml:space="preserve"> (</w:t>
      </w:r>
      <w:proofErr w:type="spellStart"/>
      <w:r w:rsidRPr="002F39E9">
        <w:rPr>
          <w:i/>
          <w:color w:val="000000" w:themeColor="text1"/>
          <w:sz w:val="28"/>
          <w:szCs w:val="28"/>
        </w:rPr>
        <w:fldChar w:fldCharType="begin"/>
      </w:r>
      <w:r w:rsidRPr="002F39E9">
        <w:rPr>
          <w:i/>
          <w:color w:val="000000" w:themeColor="text1"/>
          <w:sz w:val="28"/>
          <w:szCs w:val="28"/>
        </w:rPr>
        <w:instrText xml:space="preserve"> HYPERLINK "mailbox://D:/ThunderbirdPortable/Data/profile/Mail/mail.moldovanoua-1.com/Inbox?number=1427" \l "EU_MEMBER_STATES" </w:instrText>
      </w:r>
      <w:r w:rsidRPr="002F39E9">
        <w:rPr>
          <w:i/>
          <w:color w:val="000000" w:themeColor="text1"/>
          <w:sz w:val="28"/>
          <w:szCs w:val="28"/>
        </w:rPr>
        <w:fldChar w:fldCharType="separate"/>
      </w:r>
      <w:r w:rsidRPr="002F39E9">
        <w:rPr>
          <w:rStyle w:val="Hyperlink"/>
          <w:i/>
          <w:sz w:val="28"/>
          <w:szCs w:val="28"/>
          <w:lang w:val="fr-BE"/>
        </w:rPr>
        <w:t>appendix</w:t>
      </w:r>
      <w:proofErr w:type="spellEnd"/>
      <w:r w:rsidRPr="002F39E9">
        <w:rPr>
          <w:rStyle w:val="Hyperlink"/>
          <w:i/>
          <w:sz w:val="28"/>
          <w:szCs w:val="28"/>
          <w:lang w:val="fr-BE"/>
        </w:rPr>
        <w:t xml:space="preserve"> 1</w:t>
      </w:r>
      <w:r w:rsidRPr="002F39E9">
        <w:rPr>
          <w:i/>
          <w:color w:val="000000" w:themeColor="text1"/>
          <w:sz w:val="28"/>
          <w:szCs w:val="28"/>
        </w:rPr>
        <w:fldChar w:fldCharType="end"/>
      </w:r>
      <w:r w:rsidRPr="002F39E9">
        <w:rPr>
          <w:i/>
          <w:color w:val="000000" w:themeColor="text1"/>
          <w:sz w:val="28"/>
          <w:szCs w:val="28"/>
          <w:lang w:val="fr-BE"/>
        </w:rPr>
        <w:t>)</w:t>
      </w:r>
    </w:p>
    <w:p w:rsidR="002F39E9" w:rsidRPr="002F39E9" w:rsidRDefault="002F39E9" w:rsidP="002F39E9">
      <w:pPr>
        <w:pStyle w:val="yiv2987235342msonormal"/>
        <w:shd w:val="clear" w:color="auto" w:fill="FFFFFF"/>
        <w:spacing w:before="0" w:beforeAutospacing="0" w:after="0" w:afterAutospacing="0"/>
        <w:ind w:firstLine="720"/>
        <w:rPr>
          <w:i/>
          <w:color w:val="000000" w:themeColor="text1"/>
          <w:sz w:val="28"/>
          <w:szCs w:val="28"/>
        </w:rPr>
      </w:pPr>
      <w:bookmarkStart w:id="5" w:name="_Toc423007513"/>
      <w:bookmarkStart w:id="6" w:name="_Toc423007695"/>
      <w:bookmarkEnd w:id="5"/>
      <w:r w:rsidRPr="002F39E9">
        <w:rPr>
          <w:i/>
          <w:color w:val="000000" w:themeColor="text1"/>
          <w:sz w:val="28"/>
          <w:szCs w:val="28"/>
          <w:lang w:val="en-GB"/>
        </w:rPr>
        <w:t xml:space="preserve">(b)   </w:t>
      </w:r>
      <w:r w:rsidRPr="002F39E9">
        <w:rPr>
          <w:i/>
          <w:iCs/>
          <w:color w:val="000000" w:themeColor="text1"/>
          <w:sz w:val="28"/>
          <w:szCs w:val="28"/>
        </w:rPr>
        <w:t>Beneficiaries listed in the Annex I of the IPA II</w:t>
      </w:r>
      <w:bookmarkEnd w:id="6"/>
      <w:r w:rsidRPr="002F39E9">
        <w:rPr>
          <w:i/>
          <w:color w:val="000000" w:themeColor="text1"/>
          <w:sz w:val="28"/>
          <w:szCs w:val="28"/>
        </w:rPr>
        <w:t xml:space="preserve"> (</w:t>
      </w:r>
      <w:hyperlink r:id="rId6" w:anchor="IPA_II_BENEFICIARIES" w:history="1">
        <w:r w:rsidRPr="002F39E9">
          <w:rPr>
            <w:rStyle w:val="Hyperlink"/>
            <w:i/>
            <w:sz w:val="28"/>
            <w:szCs w:val="28"/>
          </w:rPr>
          <w:t>appendix 2</w:t>
        </w:r>
      </w:hyperlink>
      <w:r w:rsidRPr="002F39E9">
        <w:rPr>
          <w:i/>
          <w:color w:val="000000" w:themeColor="text1"/>
          <w:sz w:val="28"/>
          <w:szCs w:val="28"/>
        </w:rPr>
        <w:t xml:space="preserve">)     </w:t>
      </w:r>
    </w:p>
    <w:p w:rsidR="002F39E9" w:rsidRPr="002F39E9" w:rsidRDefault="002F39E9" w:rsidP="002F39E9">
      <w:pPr>
        <w:pStyle w:val="yiv2987235342msonormal"/>
        <w:shd w:val="clear" w:color="auto" w:fill="FFFFFF"/>
        <w:spacing w:before="0" w:beforeAutospacing="0" w:after="0" w:afterAutospacing="0"/>
        <w:ind w:firstLine="720"/>
        <w:rPr>
          <w:i/>
          <w:color w:val="000000" w:themeColor="text1"/>
          <w:sz w:val="28"/>
          <w:szCs w:val="28"/>
        </w:rPr>
      </w:pPr>
      <w:bookmarkStart w:id="7" w:name="_Toc423007514"/>
      <w:bookmarkStart w:id="8" w:name="_Toc423007696"/>
      <w:bookmarkEnd w:id="7"/>
      <w:r w:rsidRPr="002F39E9">
        <w:rPr>
          <w:i/>
          <w:color w:val="000000" w:themeColor="text1"/>
          <w:sz w:val="28"/>
          <w:szCs w:val="28"/>
        </w:rPr>
        <w:t xml:space="preserve">(c)   </w:t>
      </w:r>
      <w:r w:rsidRPr="002F39E9">
        <w:rPr>
          <w:i/>
          <w:iCs/>
          <w:color w:val="000000" w:themeColor="text1"/>
          <w:sz w:val="28"/>
          <w:szCs w:val="28"/>
        </w:rPr>
        <w:t>European Economic Area</w:t>
      </w:r>
      <w:bookmarkEnd w:id="8"/>
      <w:r w:rsidRPr="002F39E9">
        <w:rPr>
          <w:i/>
          <w:color w:val="000000" w:themeColor="text1"/>
          <w:sz w:val="28"/>
          <w:szCs w:val="28"/>
        </w:rPr>
        <w:t xml:space="preserve"> (</w:t>
      </w:r>
      <w:hyperlink r:id="rId7" w:anchor="EEA" w:history="1">
        <w:r w:rsidRPr="002F39E9">
          <w:rPr>
            <w:rStyle w:val="Hyperlink"/>
            <w:i/>
            <w:sz w:val="28"/>
            <w:szCs w:val="28"/>
          </w:rPr>
          <w:t>appendix 3</w:t>
        </w:r>
      </w:hyperlink>
      <w:r w:rsidRPr="002F39E9">
        <w:rPr>
          <w:i/>
          <w:color w:val="000000" w:themeColor="text1"/>
          <w:sz w:val="28"/>
          <w:szCs w:val="28"/>
        </w:rPr>
        <w:t xml:space="preserve">)     </w:t>
      </w:r>
    </w:p>
    <w:p w:rsidR="002F39E9" w:rsidRPr="002F39E9" w:rsidRDefault="002F39E9" w:rsidP="002F39E9">
      <w:pPr>
        <w:pStyle w:val="yiv2987235342msonormal"/>
        <w:shd w:val="clear" w:color="auto" w:fill="FFFFFF"/>
        <w:spacing w:before="0" w:beforeAutospacing="0" w:after="0" w:afterAutospacing="0"/>
        <w:ind w:firstLine="720"/>
        <w:rPr>
          <w:i/>
          <w:color w:val="000000" w:themeColor="text1"/>
          <w:sz w:val="28"/>
          <w:szCs w:val="28"/>
        </w:rPr>
      </w:pPr>
      <w:bookmarkStart w:id="9" w:name="_Toc423007515"/>
      <w:bookmarkStart w:id="10" w:name="_Toc423007697"/>
      <w:bookmarkEnd w:id="9"/>
      <w:r w:rsidRPr="002F39E9">
        <w:rPr>
          <w:i/>
          <w:color w:val="000000" w:themeColor="text1"/>
          <w:sz w:val="28"/>
          <w:szCs w:val="28"/>
        </w:rPr>
        <w:t xml:space="preserve">(d)   </w:t>
      </w:r>
      <w:r w:rsidRPr="002F39E9">
        <w:rPr>
          <w:i/>
          <w:iCs/>
          <w:color w:val="000000" w:themeColor="text1"/>
          <w:sz w:val="28"/>
          <w:szCs w:val="28"/>
        </w:rPr>
        <w:t>Partner countries and territories covered by ENI Instrument</w:t>
      </w:r>
      <w:bookmarkEnd w:id="10"/>
      <w:r w:rsidRPr="002F39E9">
        <w:rPr>
          <w:i/>
          <w:color w:val="000000" w:themeColor="text1"/>
          <w:sz w:val="28"/>
          <w:szCs w:val="28"/>
        </w:rPr>
        <w:t xml:space="preserve"> (annex </w:t>
      </w:r>
      <w:proofErr w:type="gramStart"/>
      <w:r w:rsidRPr="002F39E9">
        <w:rPr>
          <w:i/>
          <w:color w:val="000000" w:themeColor="text1"/>
          <w:sz w:val="28"/>
          <w:szCs w:val="28"/>
        </w:rPr>
        <w:t>I</w:t>
      </w:r>
      <w:proofErr w:type="gramEnd"/>
      <w:r w:rsidRPr="002F39E9">
        <w:rPr>
          <w:i/>
          <w:color w:val="000000" w:themeColor="text1"/>
          <w:sz w:val="28"/>
          <w:szCs w:val="28"/>
        </w:rPr>
        <w:t xml:space="preserve"> of ENI </w:t>
      </w:r>
      <w:proofErr w:type="spellStart"/>
      <w:r w:rsidRPr="002F39E9">
        <w:rPr>
          <w:i/>
          <w:color w:val="000000" w:themeColor="text1"/>
          <w:sz w:val="28"/>
          <w:szCs w:val="28"/>
        </w:rPr>
        <w:t>Intrument</w:t>
      </w:r>
      <w:proofErr w:type="spellEnd"/>
      <w:r w:rsidRPr="002F39E9">
        <w:rPr>
          <w:i/>
          <w:color w:val="000000" w:themeColor="text1"/>
          <w:sz w:val="28"/>
          <w:szCs w:val="28"/>
        </w:rPr>
        <w:t>) (</w:t>
      </w:r>
      <w:hyperlink r:id="rId8" w:anchor="ENI_PARTNER_COUNTRIES" w:history="1">
        <w:r w:rsidRPr="002F39E9">
          <w:rPr>
            <w:rStyle w:val="Hyperlink"/>
            <w:i/>
            <w:sz w:val="28"/>
            <w:szCs w:val="28"/>
          </w:rPr>
          <w:t>appendix 11</w:t>
        </w:r>
      </w:hyperlink>
      <w:r w:rsidRPr="002F39E9">
        <w:rPr>
          <w:i/>
          <w:color w:val="000000" w:themeColor="text1"/>
          <w:sz w:val="28"/>
          <w:szCs w:val="28"/>
        </w:rPr>
        <w:t>)</w:t>
      </w:r>
    </w:p>
    <w:p w:rsidR="002F39E9" w:rsidRDefault="002F39E9" w:rsidP="002F39E9">
      <w:pPr>
        <w:pStyle w:val="yiv2987235342msonormal"/>
        <w:shd w:val="clear" w:color="auto" w:fill="FFFFFF"/>
        <w:spacing w:before="0" w:beforeAutospacing="0" w:after="0" w:afterAutospacing="0"/>
        <w:ind w:firstLine="720"/>
        <w:rPr>
          <w:i/>
          <w:color w:val="000000" w:themeColor="text1"/>
          <w:sz w:val="28"/>
          <w:szCs w:val="28"/>
        </w:rPr>
      </w:pPr>
      <w:bookmarkStart w:id="11" w:name="_Toc423007698"/>
      <w:bookmarkStart w:id="12" w:name="_Toc423007516"/>
      <w:bookmarkStart w:id="13" w:name="_DV_M255"/>
      <w:bookmarkStart w:id="14" w:name="_DV_M256"/>
      <w:bookmarkEnd w:id="11"/>
      <w:bookmarkEnd w:id="12"/>
      <w:bookmarkEnd w:id="13"/>
      <w:bookmarkEnd w:id="14"/>
      <w:r w:rsidRPr="002F39E9">
        <w:rPr>
          <w:i/>
          <w:color w:val="000000" w:themeColor="text1"/>
          <w:sz w:val="28"/>
          <w:szCs w:val="28"/>
        </w:rPr>
        <w:t>(e) </w:t>
      </w:r>
      <w:proofErr w:type="gramStart"/>
      <w:r w:rsidRPr="002F39E9">
        <w:rPr>
          <w:i/>
          <w:color w:val="000000" w:themeColor="text1"/>
          <w:sz w:val="28"/>
          <w:szCs w:val="28"/>
        </w:rPr>
        <w:t>countries</w:t>
      </w:r>
      <w:proofErr w:type="gramEnd"/>
      <w:r w:rsidRPr="002F39E9">
        <w:rPr>
          <w:i/>
          <w:color w:val="000000" w:themeColor="text1"/>
          <w:sz w:val="28"/>
          <w:szCs w:val="28"/>
        </w:rPr>
        <w:t xml:space="preserve"> for which Commission has adopted a decision approving the request for </w:t>
      </w:r>
      <w:r w:rsidRPr="002F39E9">
        <w:rPr>
          <w:i/>
          <w:iCs/>
          <w:color w:val="000000" w:themeColor="text1"/>
          <w:sz w:val="28"/>
          <w:szCs w:val="28"/>
        </w:rPr>
        <w:t>reciprocal access</w:t>
      </w:r>
      <w:r w:rsidRPr="002F39E9">
        <w:rPr>
          <w:i/>
          <w:color w:val="000000" w:themeColor="text1"/>
          <w:sz w:val="28"/>
          <w:szCs w:val="28"/>
        </w:rPr>
        <w:t xml:space="preserve"> to external assistance. </w:t>
      </w:r>
      <w:bookmarkStart w:id="15" w:name="_Toc423007517"/>
      <w:bookmarkStart w:id="16" w:name="_Toc423007699"/>
      <w:bookmarkEnd w:id="15"/>
      <w:r w:rsidRPr="002F39E9">
        <w:rPr>
          <w:i/>
          <w:color w:val="000000" w:themeColor="text1"/>
          <w:sz w:val="28"/>
          <w:szCs w:val="28"/>
        </w:rPr>
        <w:t>Currently there are no such countries.</w:t>
      </w:r>
      <w:bookmarkEnd w:id="16"/>
    </w:p>
    <w:p w:rsidR="002F39E9" w:rsidRPr="002F39E9" w:rsidRDefault="002F39E9" w:rsidP="002F39E9">
      <w:pPr>
        <w:pStyle w:val="yiv2987235342msonormal"/>
        <w:shd w:val="clear" w:color="auto" w:fill="FFFFFF"/>
        <w:spacing w:before="0" w:beforeAutospacing="0" w:after="0" w:afterAutospacing="0"/>
        <w:ind w:firstLine="720"/>
        <w:rPr>
          <w:i/>
          <w:color w:val="000000" w:themeColor="text1"/>
          <w:sz w:val="28"/>
          <w:szCs w:val="28"/>
        </w:rPr>
      </w:pPr>
    </w:p>
    <w:p w:rsidR="002F39E9" w:rsidRPr="002F39E9" w:rsidRDefault="002F39E9" w:rsidP="002F39E9">
      <w:pPr>
        <w:spacing w:after="0" w:line="240" w:lineRule="auto"/>
        <w:jc w:val="center"/>
        <w:rPr>
          <w:rFonts w:ascii="Times New Roman" w:eastAsia="Calibri" w:hAnsi="Times New Roman" w:cs="Times New Roman"/>
          <w:b/>
          <w:noProof/>
          <w:color w:val="000000"/>
          <w:sz w:val="24"/>
          <w:szCs w:val="24"/>
          <w:lang w:val="en-GB"/>
        </w:rPr>
      </w:pPr>
      <w:r w:rsidRPr="002F39E9">
        <w:rPr>
          <w:rFonts w:ascii="Times New Roman" w:eastAsia="Calibri" w:hAnsi="Times New Roman" w:cs="Times New Roman"/>
          <w:b/>
          <w:i/>
          <w:noProof/>
          <w:color w:val="000000"/>
          <w:sz w:val="24"/>
          <w:szCs w:val="24"/>
          <w:lang w:val="en-GB"/>
        </w:rPr>
        <w:t xml:space="preserve">APPENDIX 1 : </w:t>
      </w:r>
      <w:r w:rsidRPr="002F39E9">
        <w:rPr>
          <w:rFonts w:ascii="Times New Roman" w:eastAsia="Calibri" w:hAnsi="Times New Roman" w:cs="Times New Roman"/>
          <w:b/>
          <w:noProof/>
          <w:color w:val="000000"/>
          <w:sz w:val="24"/>
          <w:szCs w:val="24"/>
          <w:lang w:val="en-GB"/>
        </w:rPr>
        <w:t>EU MEMBER STATES</w:t>
      </w:r>
    </w:p>
    <w:p w:rsidR="002F39E9" w:rsidRPr="002F39E9" w:rsidRDefault="002F39E9" w:rsidP="002F39E9">
      <w:pPr>
        <w:pBdr>
          <w:top w:val="single" w:sz="4" w:space="1" w:color="auto"/>
          <w:left w:val="single" w:sz="4" w:space="4" w:color="auto"/>
          <w:bottom w:val="single" w:sz="4" w:space="1" w:color="auto"/>
          <w:right w:val="single" w:sz="4" w:space="4" w:color="auto"/>
        </w:pBdr>
        <w:spacing w:after="0" w:line="240" w:lineRule="auto"/>
        <w:ind w:left="567"/>
        <w:jc w:val="both"/>
        <w:outlineLvl w:val="0"/>
        <w:rPr>
          <w:rFonts w:ascii="Times New Roman" w:eastAsia="Calibri" w:hAnsi="Times New Roman" w:cs="Times New Roman"/>
          <w:noProof/>
          <w:sz w:val="24"/>
          <w:szCs w:val="24"/>
          <w:lang w:val="en-GB"/>
        </w:rPr>
      </w:pPr>
      <w:r w:rsidRPr="002F39E9">
        <w:rPr>
          <w:rFonts w:ascii="Times New Roman" w:eastAsia="Calibri" w:hAnsi="Times New Roman" w:cs="Times New Roman"/>
          <w:snapToGrid w:val="0"/>
          <w:sz w:val="24"/>
          <w:szCs w:val="24"/>
          <w:lang w:val="en-GB"/>
        </w:rPr>
        <w:t>Austria, Belgium, Bulgaria, Czech Republic,</w:t>
      </w:r>
      <w:r w:rsidRPr="002F39E9">
        <w:rPr>
          <w:rFonts w:ascii="Times New Roman" w:eastAsia="Calibri" w:hAnsi="Times New Roman" w:cs="Times New Roman"/>
          <w:noProof/>
          <w:sz w:val="24"/>
          <w:szCs w:val="24"/>
          <w:lang w:val="en-GB"/>
        </w:rPr>
        <w:t xml:space="preserve"> Croatia, </w:t>
      </w:r>
      <w:r w:rsidRPr="002F39E9">
        <w:rPr>
          <w:rFonts w:ascii="Times New Roman" w:eastAsia="Calibri" w:hAnsi="Times New Roman" w:cs="Times New Roman"/>
          <w:snapToGrid w:val="0"/>
          <w:sz w:val="24"/>
          <w:szCs w:val="24"/>
          <w:lang w:val="en-GB"/>
        </w:rPr>
        <w:t>Cyprus, Denmark, Estonia, Finland, France, Germany, Greece, Hungary, Ireland, Italy, Latvia, Lithuania, Luxembourg, Malta, Netherlands, Poland, Portugal, Romania, Slovakia, Slovenia, Spain, Sweden, United Kingdom.</w:t>
      </w:r>
    </w:p>
    <w:p w:rsidR="002F39E9" w:rsidRDefault="002F39E9" w:rsidP="002F39E9">
      <w:pPr>
        <w:spacing w:after="0" w:line="240" w:lineRule="auto"/>
        <w:jc w:val="center"/>
        <w:rPr>
          <w:rFonts w:ascii="Times New Roman" w:eastAsia="Calibri" w:hAnsi="Times New Roman" w:cs="Times New Roman"/>
          <w:b/>
          <w:i/>
          <w:noProof/>
          <w:color w:val="000000"/>
          <w:sz w:val="24"/>
          <w:szCs w:val="24"/>
          <w:lang w:val="en-GB"/>
        </w:rPr>
      </w:pPr>
    </w:p>
    <w:p w:rsidR="002F39E9" w:rsidRDefault="002F39E9" w:rsidP="002F39E9">
      <w:pPr>
        <w:spacing w:after="0" w:line="240" w:lineRule="auto"/>
        <w:jc w:val="center"/>
        <w:rPr>
          <w:rFonts w:ascii="Times New Roman" w:eastAsia="Calibri" w:hAnsi="Times New Roman" w:cs="Times New Roman"/>
          <w:b/>
          <w:i/>
          <w:noProof/>
          <w:color w:val="000000"/>
          <w:sz w:val="24"/>
          <w:szCs w:val="24"/>
          <w:lang w:val="en-GB"/>
        </w:rPr>
      </w:pPr>
    </w:p>
    <w:p w:rsidR="002F39E9" w:rsidRPr="002F39E9" w:rsidRDefault="002F39E9" w:rsidP="002F39E9">
      <w:pPr>
        <w:spacing w:after="0" w:line="240" w:lineRule="auto"/>
        <w:jc w:val="center"/>
        <w:rPr>
          <w:rFonts w:ascii="Times New Roman" w:eastAsia="Calibri" w:hAnsi="Times New Roman" w:cs="Times New Roman"/>
          <w:b/>
          <w:i/>
          <w:color w:val="000000"/>
          <w:lang w:val="en-GB"/>
        </w:rPr>
      </w:pPr>
      <w:r w:rsidRPr="002F39E9">
        <w:rPr>
          <w:rFonts w:ascii="Times New Roman" w:eastAsia="Calibri" w:hAnsi="Times New Roman" w:cs="Times New Roman"/>
          <w:b/>
          <w:i/>
          <w:noProof/>
          <w:color w:val="000000"/>
          <w:sz w:val="24"/>
          <w:szCs w:val="24"/>
          <w:lang w:val="en-GB"/>
        </w:rPr>
        <w:lastRenderedPageBreak/>
        <w:t xml:space="preserve">APPENDIX 2 : </w:t>
      </w:r>
      <w:r w:rsidRPr="002F39E9">
        <w:rPr>
          <w:rFonts w:ascii="Times New Roman" w:eastAsia="Calibri" w:hAnsi="Times New Roman" w:cs="Times New Roman"/>
          <w:b/>
          <w:noProof/>
          <w:color w:val="000000"/>
          <w:sz w:val="24"/>
          <w:szCs w:val="24"/>
          <w:lang w:val="en-GB"/>
        </w:rPr>
        <w:t xml:space="preserve">IPA II </w:t>
      </w:r>
      <w:r w:rsidRPr="002F39E9">
        <w:rPr>
          <w:rFonts w:ascii="Times New Roman" w:eastAsia="Calibri" w:hAnsi="Times New Roman" w:cs="Times New Roman"/>
          <w:b/>
          <w:caps/>
          <w:noProof/>
          <w:color w:val="000000"/>
          <w:sz w:val="24"/>
          <w:szCs w:val="24"/>
          <w:lang w:val="en-GB"/>
        </w:rPr>
        <w:t>beneficiaries</w:t>
      </w:r>
    </w:p>
    <w:p w:rsidR="002F39E9" w:rsidRPr="002F39E9" w:rsidRDefault="002F39E9" w:rsidP="002F39E9">
      <w:pPr>
        <w:pBdr>
          <w:top w:val="single" w:sz="4" w:space="1" w:color="auto"/>
          <w:left w:val="single" w:sz="4" w:space="4" w:color="auto"/>
          <w:bottom w:val="single" w:sz="4" w:space="25" w:color="auto"/>
          <w:right w:val="single" w:sz="4" w:space="4" w:color="auto"/>
        </w:pBdr>
        <w:spacing w:after="0" w:line="240" w:lineRule="auto"/>
        <w:ind w:left="567"/>
        <w:jc w:val="both"/>
        <w:outlineLvl w:val="0"/>
        <w:rPr>
          <w:rFonts w:ascii="Times New Roman" w:eastAsia="Calibri" w:hAnsi="Times New Roman" w:cs="Times New Roman"/>
          <w:noProof/>
          <w:sz w:val="24"/>
          <w:szCs w:val="24"/>
          <w:lang w:val="en-GB"/>
        </w:rPr>
      </w:pPr>
      <w:r w:rsidRPr="002F39E9">
        <w:rPr>
          <w:rFonts w:ascii="Times New Roman" w:eastAsia="Calibri" w:hAnsi="Times New Roman" w:cs="Times New Roman"/>
          <w:noProof/>
          <w:sz w:val="24"/>
          <w:szCs w:val="24"/>
          <w:lang w:val="en-GB"/>
        </w:rPr>
        <w:t xml:space="preserve">Albania, Bosnia and Herzegovina, Kosovo*, Montenegro, Serbia, Turkey, the former Yugoslav Republic of Macedonia. </w:t>
      </w:r>
    </w:p>
    <w:p w:rsidR="002F39E9" w:rsidRDefault="002F39E9" w:rsidP="002F39E9">
      <w:pPr>
        <w:pBdr>
          <w:top w:val="single" w:sz="4" w:space="1" w:color="auto"/>
          <w:left w:val="single" w:sz="4" w:space="4" w:color="auto"/>
          <w:bottom w:val="single" w:sz="4" w:space="25" w:color="auto"/>
          <w:right w:val="single" w:sz="4" w:space="4" w:color="auto"/>
        </w:pBdr>
        <w:spacing w:after="0" w:line="240" w:lineRule="auto"/>
        <w:ind w:left="567"/>
        <w:jc w:val="both"/>
        <w:outlineLvl w:val="0"/>
        <w:rPr>
          <w:rFonts w:ascii="Times New Roman" w:eastAsia="Calibri" w:hAnsi="Times New Roman" w:cs="Times New Roman"/>
          <w:b/>
          <w:i/>
          <w:noProof/>
          <w:color w:val="000000"/>
          <w:sz w:val="24"/>
          <w:szCs w:val="24"/>
          <w:lang w:val="en-GB"/>
        </w:rPr>
      </w:pPr>
      <w:r w:rsidRPr="002F39E9">
        <w:rPr>
          <w:rFonts w:ascii="Times New Roman" w:eastAsia="Calibri" w:hAnsi="Times New Roman" w:cs="Times New Roman"/>
          <w:noProof/>
          <w:sz w:val="24"/>
          <w:szCs w:val="24"/>
          <w:lang w:val="en-GB"/>
        </w:rPr>
        <w:t>* This designation is without prejudice to positions on status, and is in line with UNSCR 1244/1999 and the ICJ Opinion on the Kosovo declaration of independence.</w:t>
      </w:r>
    </w:p>
    <w:p w:rsidR="002F39E9" w:rsidRDefault="002F39E9" w:rsidP="002F39E9">
      <w:pPr>
        <w:spacing w:after="0" w:line="240" w:lineRule="auto"/>
        <w:ind w:left="1276" w:hanging="709"/>
        <w:jc w:val="center"/>
        <w:outlineLvl w:val="0"/>
        <w:rPr>
          <w:rFonts w:ascii="Times New Roman" w:eastAsia="Calibri" w:hAnsi="Times New Roman" w:cs="Times New Roman"/>
          <w:b/>
          <w:i/>
          <w:noProof/>
          <w:color w:val="000000"/>
          <w:sz w:val="24"/>
          <w:szCs w:val="24"/>
          <w:lang w:val="en-GB"/>
        </w:rPr>
      </w:pPr>
    </w:p>
    <w:p w:rsidR="002F39E9" w:rsidRDefault="002F39E9" w:rsidP="002F39E9">
      <w:pPr>
        <w:spacing w:after="0" w:line="240" w:lineRule="auto"/>
        <w:ind w:left="1276" w:hanging="709"/>
        <w:jc w:val="center"/>
        <w:outlineLvl w:val="0"/>
        <w:rPr>
          <w:rFonts w:ascii="Times New Roman" w:eastAsia="Calibri" w:hAnsi="Times New Roman" w:cs="Times New Roman"/>
          <w:b/>
          <w:i/>
          <w:noProof/>
          <w:color w:val="000000"/>
          <w:sz w:val="24"/>
          <w:szCs w:val="24"/>
          <w:lang w:val="en-GB"/>
        </w:rPr>
      </w:pPr>
      <w:bookmarkStart w:id="17" w:name="_GoBack"/>
      <w:bookmarkEnd w:id="17"/>
    </w:p>
    <w:p w:rsidR="002F39E9" w:rsidRPr="002F39E9" w:rsidRDefault="002F39E9" w:rsidP="002F39E9">
      <w:pPr>
        <w:spacing w:after="0" w:line="240" w:lineRule="auto"/>
        <w:ind w:left="1276" w:hanging="709"/>
        <w:jc w:val="center"/>
        <w:outlineLvl w:val="0"/>
        <w:rPr>
          <w:rFonts w:ascii="Times New Roman" w:eastAsia="Calibri" w:hAnsi="Times New Roman" w:cs="Times New Roman"/>
          <w:noProof/>
          <w:sz w:val="24"/>
          <w:szCs w:val="24"/>
          <w:lang w:val="en-GB"/>
        </w:rPr>
      </w:pPr>
      <w:r w:rsidRPr="002F39E9">
        <w:rPr>
          <w:rFonts w:ascii="Times New Roman" w:eastAsia="Calibri" w:hAnsi="Times New Roman" w:cs="Times New Roman"/>
          <w:b/>
          <w:i/>
          <w:noProof/>
          <w:color w:val="000000"/>
          <w:sz w:val="24"/>
          <w:szCs w:val="24"/>
          <w:lang w:val="en-GB"/>
        </w:rPr>
        <w:t xml:space="preserve">APPENDIX 3 : </w:t>
      </w:r>
      <w:r w:rsidRPr="002F39E9">
        <w:rPr>
          <w:rFonts w:ascii="Times New Roman" w:eastAsia="Calibri" w:hAnsi="Times New Roman" w:cs="Times New Roman"/>
          <w:b/>
          <w:caps/>
          <w:color w:val="000000"/>
          <w:sz w:val="24"/>
          <w:szCs w:val="24"/>
          <w:lang w:val="en-GB"/>
        </w:rPr>
        <w:t>European Economic Area</w:t>
      </w:r>
      <w:r w:rsidRPr="002F39E9">
        <w:rPr>
          <w:rFonts w:ascii="Times New Roman" w:eastAsia="Calibri" w:hAnsi="Times New Roman" w:cs="Times New Roman"/>
          <w:noProof/>
          <w:sz w:val="24"/>
          <w:szCs w:val="24"/>
          <w:lang w:val="en-GB"/>
        </w:rPr>
        <w:t xml:space="preserve"> </w:t>
      </w:r>
    </w:p>
    <w:p w:rsidR="002F39E9" w:rsidRPr="002F39E9" w:rsidRDefault="002F39E9" w:rsidP="002F39E9">
      <w:pPr>
        <w:pBdr>
          <w:top w:val="single" w:sz="4" w:space="1" w:color="auto"/>
          <w:left w:val="single" w:sz="4" w:space="4" w:color="auto"/>
          <w:bottom w:val="single" w:sz="4" w:space="1" w:color="auto"/>
          <w:right w:val="single" w:sz="4" w:space="4" w:color="auto"/>
        </w:pBdr>
        <w:spacing w:after="0" w:line="240" w:lineRule="auto"/>
        <w:ind w:left="567"/>
        <w:jc w:val="both"/>
        <w:outlineLvl w:val="0"/>
        <w:rPr>
          <w:rFonts w:ascii="Times New Roman" w:eastAsia="Calibri" w:hAnsi="Times New Roman" w:cs="Times New Roman"/>
          <w:noProof/>
          <w:sz w:val="24"/>
          <w:szCs w:val="24"/>
          <w:lang w:val="en-GB"/>
        </w:rPr>
      </w:pPr>
      <w:r w:rsidRPr="002F39E9">
        <w:rPr>
          <w:rFonts w:ascii="Times New Roman" w:eastAsia="Calibri" w:hAnsi="Times New Roman" w:cs="Times New Roman"/>
          <w:noProof/>
          <w:sz w:val="24"/>
          <w:szCs w:val="24"/>
          <w:lang w:val="en-GB"/>
        </w:rPr>
        <w:t xml:space="preserve">(only non-EU MS are mentioned) Iceland, Lichtenstein, Norway. </w:t>
      </w:r>
    </w:p>
    <w:p w:rsidR="002F39E9" w:rsidRDefault="002F39E9" w:rsidP="002F39E9">
      <w:pPr>
        <w:spacing w:after="0" w:line="240" w:lineRule="auto"/>
        <w:jc w:val="center"/>
        <w:rPr>
          <w:rFonts w:ascii="Times New Roman" w:eastAsia="Calibri" w:hAnsi="Times New Roman" w:cs="Times New Roman"/>
          <w:b/>
          <w:i/>
          <w:noProof/>
          <w:color w:val="000000"/>
          <w:sz w:val="24"/>
          <w:szCs w:val="24"/>
          <w:lang w:val="en-GB"/>
        </w:rPr>
      </w:pPr>
    </w:p>
    <w:p w:rsidR="002F39E9" w:rsidRDefault="002F39E9" w:rsidP="002F39E9">
      <w:pPr>
        <w:spacing w:after="0" w:line="240" w:lineRule="auto"/>
        <w:jc w:val="center"/>
        <w:rPr>
          <w:rFonts w:ascii="Times New Roman" w:eastAsia="Calibri" w:hAnsi="Times New Roman" w:cs="Times New Roman"/>
          <w:b/>
          <w:i/>
          <w:noProof/>
          <w:color w:val="000000"/>
          <w:sz w:val="24"/>
          <w:szCs w:val="24"/>
          <w:lang w:val="en-GB"/>
        </w:rPr>
      </w:pPr>
    </w:p>
    <w:p w:rsidR="002F39E9" w:rsidRPr="002F39E9" w:rsidRDefault="002F39E9" w:rsidP="002F39E9">
      <w:pPr>
        <w:spacing w:after="0" w:line="240" w:lineRule="auto"/>
        <w:jc w:val="center"/>
        <w:rPr>
          <w:rFonts w:ascii="Times New Roman" w:eastAsia="Calibri" w:hAnsi="Times New Roman" w:cs="Times New Roman"/>
          <w:sz w:val="24"/>
          <w:szCs w:val="24"/>
          <w:lang w:val="en-GB"/>
        </w:rPr>
      </w:pPr>
      <w:r w:rsidRPr="002F39E9">
        <w:rPr>
          <w:rFonts w:ascii="Times New Roman" w:eastAsia="Calibri" w:hAnsi="Times New Roman" w:cs="Times New Roman"/>
          <w:b/>
          <w:i/>
          <w:noProof/>
          <w:color w:val="000000"/>
          <w:sz w:val="24"/>
          <w:szCs w:val="24"/>
          <w:lang w:val="en-GB"/>
        </w:rPr>
        <w:t xml:space="preserve">APPENDIX 11 : </w:t>
      </w:r>
      <w:r w:rsidRPr="002F39E9">
        <w:rPr>
          <w:rFonts w:ascii="Times New Roman" w:eastAsia="Calibri" w:hAnsi="Times New Roman" w:cs="Times New Roman"/>
          <w:b/>
          <w:noProof/>
          <w:color w:val="000000"/>
          <w:sz w:val="24"/>
          <w:szCs w:val="24"/>
          <w:lang w:val="en-GB"/>
        </w:rPr>
        <w:t>ENI PARTNER COUNTRIES AND TERRITORIES</w:t>
      </w:r>
    </w:p>
    <w:p w:rsidR="002F39E9" w:rsidRPr="002F39E9" w:rsidRDefault="002F39E9" w:rsidP="002F39E9">
      <w:pPr>
        <w:pBdr>
          <w:top w:val="single" w:sz="4" w:space="1" w:color="auto"/>
          <w:left w:val="single" w:sz="4" w:space="4" w:color="auto"/>
          <w:bottom w:val="single" w:sz="4" w:space="1" w:color="auto"/>
          <w:right w:val="single" w:sz="4" w:space="4" w:color="auto"/>
        </w:pBdr>
        <w:tabs>
          <w:tab w:val="left" w:pos="1418"/>
        </w:tabs>
        <w:spacing w:after="0" w:line="240" w:lineRule="auto"/>
        <w:ind w:left="567"/>
        <w:jc w:val="both"/>
        <w:outlineLvl w:val="0"/>
        <w:rPr>
          <w:rFonts w:ascii="Times New Roman" w:eastAsia="Calibri" w:hAnsi="Times New Roman" w:cs="Times New Roman"/>
          <w:sz w:val="24"/>
          <w:szCs w:val="24"/>
          <w:lang w:val="en-GB"/>
        </w:rPr>
      </w:pPr>
      <w:bookmarkStart w:id="18" w:name="_Toc423007532"/>
      <w:bookmarkStart w:id="19" w:name="_Toc423007714"/>
      <w:r w:rsidRPr="002F39E9">
        <w:rPr>
          <w:rFonts w:ascii="Times New Roman" w:eastAsia="Calibri" w:hAnsi="Times New Roman" w:cs="Times New Roman"/>
          <w:sz w:val="24"/>
          <w:szCs w:val="24"/>
          <w:lang w:val="en-GB"/>
        </w:rPr>
        <w:t>Algeria, Armenia, Azerbaijan, Belarus, Egypt, Georgia, Israel, Jordan, Lebanon, Libya, Republic of Moldova, Morocco, occupied Palestinian territory (</w:t>
      </w:r>
      <w:proofErr w:type="spellStart"/>
      <w:r w:rsidRPr="002F39E9">
        <w:rPr>
          <w:rFonts w:ascii="Times New Roman" w:eastAsia="Calibri" w:hAnsi="Times New Roman" w:cs="Times New Roman"/>
          <w:sz w:val="24"/>
          <w:szCs w:val="24"/>
          <w:lang w:val="en-GB"/>
        </w:rPr>
        <w:t>oPt</w:t>
      </w:r>
      <w:proofErr w:type="spellEnd"/>
      <w:r w:rsidRPr="002F39E9">
        <w:rPr>
          <w:rFonts w:ascii="Times New Roman" w:eastAsia="Calibri" w:hAnsi="Times New Roman" w:cs="Times New Roman"/>
          <w:sz w:val="24"/>
          <w:szCs w:val="24"/>
          <w:lang w:val="en-GB"/>
        </w:rPr>
        <w:t>), Syria, Tunisia, Ukraine.</w:t>
      </w:r>
      <w:bookmarkEnd w:id="18"/>
      <w:bookmarkEnd w:id="19"/>
    </w:p>
    <w:p w:rsidR="00FB0F2D" w:rsidRPr="002F39E9" w:rsidRDefault="00FB0F2D" w:rsidP="002F39E9">
      <w:pPr>
        <w:pStyle w:val="yiv2987235342msonormal"/>
        <w:shd w:val="clear" w:color="auto" w:fill="FFFFFF"/>
        <w:spacing w:before="0" w:beforeAutospacing="0" w:after="0" w:afterAutospacing="0"/>
        <w:jc w:val="both"/>
        <w:rPr>
          <w:i/>
          <w:color w:val="000000" w:themeColor="text1"/>
          <w:sz w:val="28"/>
          <w:szCs w:val="28"/>
        </w:rPr>
      </w:pPr>
    </w:p>
    <w:sectPr w:rsidR="00FB0F2D" w:rsidRPr="002F39E9" w:rsidSect="002F39E9">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2D"/>
    <w:rsid w:val="002A4E0B"/>
    <w:rsid w:val="002F39E9"/>
    <w:rsid w:val="004D1660"/>
    <w:rsid w:val="005820F9"/>
    <w:rsid w:val="00B6744B"/>
    <w:rsid w:val="00FB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987235342msonormal">
    <w:name w:val="yiv2987235342msonormal"/>
    <w:basedOn w:val="Normal"/>
    <w:rsid w:val="00FB0F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0F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987235342msonormal">
    <w:name w:val="yiv2987235342msonormal"/>
    <w:basedOn w:val="Normal"/>
    <w:rsid w:val="00FB0F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0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2148">
      <w:bodyDiv w:val="1"/>
      <w:marLeft w:val="0"/>
      <w:marRight w:val="0"/>
      <w:marTop w:val="0"/>
      <w:marBottom w:val="0"/>
      <w:divBdr>
        <w:top w:val="none" w:sz="0" w:space="0" w:color="auto"/>
        <w:left w:val="none" w:sz="0" w:space="0" w:color="auto"/>
        <w:bottom w:val="none" w:sz="0" w:space="0" w:color="auto"/>
        <w:right w:val="none" w:sz="0" w:space="0" w:color="auto"/>
      </w:divBdr>
    </w:div>
    <w:div w:id="955214438">
      <w:bodyDiv w:val="1"/>
      <w:marLeft w:val="0"/>
      <w:marRight w:val="0"/>
      <w:marTop w:val="0"/>
      <w:marBottom w:val="0"/>
      <w:divBdr>
        <w:top w:val="none" w:sz="0" w:space="0" w:color="auto"/>
        <w:left w:val="none" w:sz="0" w:space="0" w:color="auto"/>
        <w:bottom w:val="none" w:sz="0" w:space="0" w:color="auto"/>
        <w:right w:val="none" w:sz="0" w:space="0" w:color="auto"/>
      </w:divBdr>
    </w:div>
    <w:div w:id="1876307188">
      <w:bodyDiv w:val="1"/>
      <w:marLeft w:val="0"/>
      <w:marRight w:val="0"/>
      <w:marTop w:val="0"/>
      <w:marBottom w:val="0"/>
      <w:divBdr>
        <w:top w:val="none" w:sz="0" w:space="0" w:color="auto"/>
        <w:left w:val="none" w:sz="0" w:space="0" w:color="auto"/>
        <w:bottom w:val="none" w:sz="0" w:space="0" w:color="auto"/>
        <w:right w:val="none" w:sz="0" w:space="0" w:color="auto"/>
      </w:divBdr>
    </w:div>
    <w:div w:id="2103985686">
      <w:bodyDiv w:val="1"/>
      <w:marLeft w:val="0"/>
      <w:marRight w:val="0"/>
      <w:marTop w:val="0"/>
      <w:marBottom w:val="0"/>
      <w:divBdr>
        <w:top w:val="none" w:sz="0" w:space="0" w:color="auto"/>
        <w:left w:val="none" w:sz="0" w:space="0" w:color="auto"/>
        <w:bottom w:val="none" w:sz="0" w:space="0" w:color="auto"/>
        <w:right w:val="none" w:sz="0" w:space="0" w:color="auto"/>
      </w:divBdr>
      <w:divsChild>
        <w:div w:id="1608654194">
          <w:marLeft w:val="0"/>
          <w:marRight w:val="0"/>
          <w:marTop w:val="0"/>
          <w:marBottom w:val="0"/>
          <w:divBdr>
            <w:top w:val="single" w:sz="8" w:space="1" w:color="auto"/>
            <w:left w:val="single" w:sz="8" w:space="4" w:color="auto"/>
            <w:bottom w:val="single" w:sz="8" w:space="1" w:color="auto"/>
            <w:right w:val="single" w:sz="8" w:space="4" w:color="auto"/>
          </w:divBdr>
        </w:div>
        <w:div w:id="929388377">
          <w:marLeft w:val="0"/>
          <w:marRight w:val="0"/>
          <w:marTop w:val="0"/>
          <w:marBottom w:val="0"/>
          <w:divBdr>
            <w:top w:val="single" w:sz="8" w:space="1" w:color="auto"/>
            <w:left w:val="single" w:sz="8" w:space="4" w:color="auto"/>
            <w:bottom w:val="single" w:sz="8" w:space="25" w:color="auto"/>
            <w:right w:val="single" w:sz="8" w:space="4" w:color="auto"/>
          </w:divBdr>
        </w:div>
        <w:div w:id="457719433">
          <w:marLeft w:val="0"/>
          <w:marRight w:val="0"/>
          <w:marTop w:val="0"/>
          <w:marBottom w:val="0"/>
          <w:divBdr>
            <w:top w:val="single" w:sz="8" w:space="1" w:color="auto"/>
            <w:left w:val="single" w:sz="8" w:space="4" w:color="auto"/>
            <w:bottom w:val="single" w:sz="8" w:space="1" w:color="auto"/>
            <w:right w:val="single" w:sz="8" w:space="4" w:color="auto"/>
          </w:divBdr>
        </w:div>
        <w:div w:id="895314241">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box://D:/ThunderbirdPortable/Data/profile/Mail/mail.moldovanoua-1.com/Inbox?number=1427" TargetMode="External"/><Relationship Id="rId3" Type="http://schemas.microsoft.com/office/2007/relationships/stylesWithEffects" Target="stylesWithEffects.xml"/><Relationship Id="rId7" Type="http://schemas.openxmlformats.org/officeDocument/2006/relationships/hyperlink" Target="mailbox://D:/ThunderbirdPortable/Data/profile/Mail/mail.moldovanoua-1.com/Inbox?number=14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box://D:/ThunderbirdPortable/Data/profile/Mail/mail.moldovanoua-1.com/Inbox?number=142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cp:lastModifiedBy>
  <cp:revision>2</cp:revision>
  <cp:lastPrinted>2018-12-06T12:56:00Z</cp:lastPrinted>
  <dcterms:created xsi:type="dcterms:W3CDTF">2018-12-06T12:53:00Z</dcterms:created>
  <dcterms:modified xsi:type="dcterms:W3CDTF">2019-02-13T06:57:00Z</dcterms:modified>
</cp:coreProperties>
</file>